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พ.ร.ฎ. กำหนดกิจการเป็นพาณิชยกิจ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ทะเบียนพาณิชย์ 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ไม่มี่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การจดทะเบียนพาณิชย์(เลิกประกอบพาณิชยกิจ)ตาม พรบ.ทะเบียนพาณิชย์ พ.ศ.๒๔๙๙ กรณีผู้ขอจดทะเบียนเป็นห้างหุ้นส่วนสามัญ คณะบุคคล และกิจการร่วมค้า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(สำเนาบัตรประจำตัวของหุ้นส่วนผู้จัดการ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ใบทะเบียนพาณิชย์ (ฉบับจริง)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(ครั้งละ)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