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การจดทะเบียนพาณิชย์(เปลี่ยนแปลงรายการจดทะเบียน)ตามพรบ.ทะเบียนพาณิชย์ พ.ศ.๒๔๙๙ กรณีผู้ขอจดทะเบียนเป็นบุคคลธรรมดา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(สำเนาบัตรประจำตัวของผู้ประกอบพาณิชยกิจ พร้อมลงนามรับรองสำเนาถูกต้อง)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(สำเนาทะเบียนบ้านของผู้ประกอบพาณิชยกิจ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(กรณีผู้ประกอบพาณิชยกิจมิได้เป็นเจ้าบ้าน 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(กรณีผู้ประกอบพาณิชยกิจมิได้เป็นเจ้าบ้าน)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 ใบทะเบียนพาณิชย์ (ฉบับจริง)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 (ครั้งละ)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