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ที่ประกอบพาณิชยกิจชนิดที่กฎหมายกำหนดให้ต้องจดทะเบียนพาณิชย์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การจดทะเบียนพาณิชย์(ตั้งใหม่)ตาม พรบ.ทะเบียนพาณิชย์ พ.ศ.๒๔๙๙ กรณีผู้ขอเป็นห้างหุ้นส่วนจดทะเบียน(ห้างหุ้นส่วนสามัญนิติบุคคลและห้างหุ้นส่วนสามัญจำกัด)บริษัทจำกัด และบริษัทมหาชนจำกัดที่ประกอบพาณิชยกิจชนิดที่กฏหมายกำหนดให้ต้องจดทะเบียนพาณิชย์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ถึง 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 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(สำเนาบัตรประจำตัวประชาชนของผู้ขอจดทะเบียน พร้อมลงนามรับรองสำเนาถูกต้อง)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(สำเนาทะเบียนบ้านของผู้ขอจดทะเบียน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(ต้นฉบับ) 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                                                                                  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ค่าธรรมเนียมการจดทะเบียน (คำขอละ)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ค่าธรรมเนียมคัดสำเนาเอกสารชุดละ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